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60" w:lineRule="exact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6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660" w:lineRule="exact"/>
        <w:jc w:val="center"/>
        <w:rPr>
          <w:rFonts w:hint="eastAsia" w:ascii="小标宋" w:hAnsi="宋体" w:eastAsia="小标宋"/>
          <w:sz w:val="44"/>
          <w:szCs w:val="44"/>
        </w:rPr>
      </w:pPr>
      <w:r>
        <w:rPr>
          <w:rFonts w:hint="eastAsia" w:ascii="小标宋" w:hAnsi="宋体" w:eastAsia="小标宋"/>
          <w:sz w:val="44"/>
          <w:szCs w:val="44"/>
        </w:rPr>
        <w:t>吉林省研究生科技论文演讲比赛规则</w:t>
      </w:r>
    </w:p>
    <w:p>
      <w:pPr>
        <w:ind w:firstLine="660" w:firstLineChars="200"/>
        <w:rPr>
          <w:rFonts w:hint="eastAsia" w:ascii="黑体" w:hAnsi="黑体" w:eastAsia="黑体"/>
          <w:sz w:val="33"/>
          <w:szCs w:val="33"/>
        </w:rPr>
      </w:pPr>
    </w:p>
    <w:p>
      <w:pPr>
        <w:ind w:firstLine="660" w:firstLineChars="20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为促进吉林省跨校、跨院系高层次研究生之间的交流与研讨、不同学术背景观点的相互碰撞与融合，激发创新激情、拓宽创新视野、提高创新能力，营造敢于探索、勇于创新的学术思想表达平台，吉林省科学技术协会（以下简称吉林省科协）组织开展吉林省研究生科技论文演讲比赛（以下简称比赛）。</w:t>
      </w:r>
      <w:r>
        <w:rPr>
          <w:rFonts w:hint="eastAsia" w:ascii="仿宋_GB2312" w:hAnsi="黑体" w:eastAsia="仿宋_GB2312"/>
          <w:sz w:val="33"/>
          <w:szCs w:val="33"/>
        </w:rPr>
        <w:t>为保证比赛有规可循，公平、公正、公开进行，特制定本规则。</w:t>
      </w:r>
    </w:p>
    <w:p>
      <w:pPr>
        <w:ind w:firstLine="660"/>
        <w:rPr>
          <w:rFonts w:hint="eastAsia" w:ascii="黑体" w:hAnsi="黑体" w:eastAsia="黑体"/>
          <w:sz w:val="33"/>
          <w:szCs w:val="33"/>
        </w:rPr>
      </w:pPr>
      <w:r>
        <w:rPr>
          <w:rFonts w:hint="eastAsia" w:ascii="黑体" w:hAnsi="黑体" w:eastAsia="黑体"/>
          <w:sz w:val="33"/>
          <w:szCs w:val="33"/>
        </w:rPr>
        <w:t>一、申报及推荐</w:t>
      </w:r>
    </w:p>
    <w:p>
      <w:pPr>
        <w:ind w:firstLine="660"/>
        <w:rPr>
          <w:rFonts w:hint="eastAsia" w:ascii="仿宋_GB2312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（一）吉林省科协所属省级学会和有研究生培养资格的省内各大专院校、科研院所具有推荐资格（以下称推荐单位）；省内各大专院校、科研院所在读硕士、博士研究生具有参赛资格（以下称参赛者）。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（二）每个推荐单位最多可推荐8人。不允许跨学科、跨单位推荐。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（三）参赛者需完整填写《吉林省研究生科技论文演讲比赛参赛表》，并按要求提交报名材料电子版和参赛视频。</w:t>
      </w:r>
    </w:p>
    <w:p>
      <w:pPr>
        <w:ind w:firstLine="660"/>
        <w:rPr>
          <w:rFonts w:hint="eastAsia" w:ascii="黑体" w:hAnsi="黑体" w:eastAsia="黑体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（四）已获得过本比赛往届一、二、三等奖的选手，不可针对已获奖或相似演讲内容再次参加比赛。</w:t>
      </w:r>
    </w:p>
    <w:p>
      <w:pPr>
        <w:ind w:firstLine="645"/>
        <w:rPr>
          <w:rFonts w:hint="eastAsia" w:ascii="黑体" w:hAnsi="黑体" w:eastAsia="黑体"/>
          <w:sz w:val="33"/>
          <w:szCs w:val="33"/>
        </w:rPr>
      </w:pPr>
      <w:r>
        <w:rPr>
          <w:rFonts w:hint="eastAsia" w:ascii="黑体" w:hAnsi="黑体" w:eastAsia="黑体"/>
          <w:sz w:val="33"/>
          <w:szCs w:val="33"/>
        </w:rPr>
        <w:t>二、比赛形式</w:t>
      </w:r>
    </w:p>
    <w:p>
      <w:pPr>
        <w:ind w:firstLine="645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比赛采取提纲式演讲形式，参赛者以本人的一篇或多篇学术论文为基础，分享其对研究的体会、对成果的诠释，展示其学术表达能力。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比赛分为预赛、决赛两个阶段：</w:t>
      </w:r>
    </w:p>
    <w:p>
      <w:pPr>
        <w:numPr>
          <w:ilvl w:val="0"/>
          <w:numId w:val="1"/>
        </w:num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预赛：设置理、工、农、医4个分赛场。比赛采取提交演讲视频的形式，参赛者不需到比赛现场。参赛者需以本人提供的论文为基础、PPT为提纲脉络、操作PPT进行演讲录制。每人演讲时间不超过8分钟。</w:t>
      </w:r>
    </w:p>
    <w:p>
      <w:pPr>
        <w:numPr>
          <w:ilvl w:val="0"/>
          <w:numId w:val="1"/>
        </w:num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决赛。参赛者到比赛现场抽签确定出场顺序，每人演讲8分钟；成绩和排名由评委打分确定，当场公布，按分数高低产生一、二、三等奖。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比赛时，参赛者不能携带草稿、论文、报告、书籍、手机等进行宣读或辅助演讲。参赛者在决赛中所需电脑、投影仪、翻页笔等设备由主办单位统一提供。</w:t>
      </w:r>
    </w:p>
    <w:p>
      <w:pPr>
        <w:ind w:firstLine="660"/>
        <w:rPr>
          <w:rFonts w:hint="eastAsia" w:ascii="黑体" w:hAnsi="黑体" w:eastAsia="黑体"/>
          <w:sz w:val="33"/>
          <w:szCs w:val="33"/>
        </w:rPr>
      </w:pPr>
      <w:r>
        <w:rPr>
          <w:rFonts w:hint="eastAsia" w:ascii="黑体" w:hAnsi="黑体" w:eastAsia="黑体"/>
          <w:sz w:val="33"/>
          <w:szCs w:val="33"/>
        </w:rPr>
        <w:t>三、评分标准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（一）满分100分，评分依据如下：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1. 演讲技巧与效果（50分）：富有逻辑、自然流畅、通俗易懂、使用科学术语、语音规范、有感染力；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2. 演讲内容（30分）：具有创新性、科普性、学术性；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3. PPT制作（10分）：层次清晰、内容简明、美观实用；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4. 形象风采（10分）：着装得体、肢体语言运用得当；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5. 大量照读PPT文字、演讲超时等情况扣除相应分数。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（二）加试。如出现参赛者分数相同且影响奖项评定的情况，评委针对同分参赛者的演讲内容进行提问加试。提问不超过3个，分值不超过5分，直至产生既定名次及奖项。加分后，参赛者获得的总成绩不影响已经产生的其他参赛者排名。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ascii="仿宋_GB2312" w:hAnsi="黑体" w:eastAsia="仿宋_GB2312"/>
          <w:sz w:val="33"/>
          <w:szCs w:val="33"/>
        </w:rPr>
        <w:t>（三）成绩及公布。</w:t>
      </w:r>
      <w:r>
        <w:rPr>
          <w:rFonts w:hint="eastAsia" w:eastAsia="仿宋_GB2312"/>
          <w:sz w:val="33"/>
          <w:szCs w:val="33"/>
        </w:rPr>
        <w:t>参赛者成绩及排名由评委打分确定。预赛选手成绩及排名在吉林省科协云服务平台（www.jlskx.org.cn）公布，决赛选手成绩现场逐一公布，比赛获奖人员名单将通过吉林省科协云服务平台进行公示。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ascii="黑体" w:hAnsi="黑体" w:eastAsia="黑体"/>
          <w:sz w:val="33"/>
          <w:szCs w:val="33"/>
        </w:rPr>
        <w:t>四、参赛者须知</w:t>
      </w:r>
    </w:p>
    <w:p>
      <w:pPr>
        <w:ind w:firstLine="660" w:firstLineChars="20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参赛者须遵守主、承办单位的规定，按时参加比赛，迟到或做出影响比赛行为者视为弃权。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比赛开始前，参赛者可弃权或退出比赛，但需以书面形式通过推荐单位提前告知主办单位。决赛参赛者名单公布前，参赛者弃权的，可按预赛排名递补参赛者进入决赛。</w:t>
      </w:r>
    </w:p>
    <w:p>
      <w:pPr>
        <w:ind w:firstLine="660"/>
        <w:rPr>
          <w:rFonts w:hint="eastAsia" w:ascii="黑体" w:hAnsi="黑体" w:eastAsia="黑体"/>
          <w:sz w:val="33"/>
          <w:szCs w:val="33"/>
        </w:rPr>
      </w:pPr>
      <w:r>
        <w:rPr>
          <w:rFonts w:hint="eastAsia" w:ascii="黑体" w:hAnsi="黑体" w:eastAsia="黑体"/>
          <w:sz w:val="33"/>
          <w:szCs w:val="33"/>
        </w:rPr>
        <w:t>五、演讲依据论文要求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自然科学、工程技术科学、交叉边缘学科方面的学术论文，不限是否公开发表。凡在知识产权、署名权等方面有争议的，在争议未解决前不得作为演讲依据论文使用；涉及违背有关保密规定、有关法规和产业政策的论文不得作为演讲依据论文使用。</w:t>
      </w:r>
    </w:p>
    <w:p>
      <w:pPr>
        <w:ind w:firstLine="660"/>
        <w:rPr>
          <w:rFonts w:hint="eastAsia" w:ascii="黑体" w:hAnsi="黑体" w:eastAsia="黑体"/>
          <w:sz w:val="33"/>
          <w:szCs w:val="33"/>
        </w:rPr>
      </w:pPr>
      <w:r>
        <w:rPr>
          <w:rFonts w:hint="eastAsia" w:ascii="黑体" w:hAnsi="黑体" w:eastAsia="黑体"/>
          <w:sz w:val="33"/>
          <w:szCs w:val="33"/>
        </w:rPr>
        <w:t>六、评委及评委会</w:t>
      </w:r>
    </w:p>
    <w:p>
      <w:pPr>
        <w:ind w:firstLine="660" w:firstLineChars="200"/>
        <w:rPr>
          <w:rFonts w:hint="eastAsia" w:ascii="仿宋_GB2312" w:hAnsi="黑体" w:eastAsia="仿宋_GB2312"/>
          <w:sz w:val="33"/>
          <w:szCs w:val="33"/>
        </w:rPr>
      </w:pPr>
      <w:r>
        <w:rPr>
          <w:rFonts w:hint="eastAsia" w:ascii="仿宋_GB2312" w:hAnsi="黑体" w:eastAsia="仿宋_GB2312"/>
          <w:sz w:val="33"/>
          <w:szCs w:val="33"/>
        </w:rPr>
        <w:t>（一）成立吉林省研究生科技论文演讲比赛评委会（以下简称评委会），评委会成员由省内理、工、农、医、交叉边缘等学科知名专家、学者和有关部门的负责人组成。评委会设主任委员1人，副主任委员、委员若干。评委会主要职责是：为参赛者评分；为完善比赛提供政策性意见和建议；研究、解决比赛工作的其它重大事项。</w:t>
      </w:r>
    </w:p>
    <w:p>
      <w:pPr>
        <w:ind w:firstLine="660" w:firstLineChars="200"/>
        <w:rPr>
          <w:rFonts w:hint="eastAsia" w:eastAsia="仿宋_GB2312"/>
          <w:sz w:val="33"/>
          <w:szCs w:val="33"/>
        </w:rPr>
      </w:pPr>
      <w:r>
        <w:rPr>
          <w:rFonts w:hint="eastAsia" w:ascii="仿宋_GB2312" w:hAnsi="黑体" w:eastAsia="仿宋_GB2312"/>
          <w:sz w:val="33"/>
          <w:szCs w:val="33"/>
        </w:rPr>
        <w:t>（二）</w:t>
      </w:r>
      <w:r>
        <w:rPr>
          <w:rFonts w:hint="eastAsia" w:eastAsia="仿宋_GB2312"/>
          <w:sz w:val="33"/>
          <w:szCs w:val="33"/>
        </w:rPr>
        <w:t>评委会办公室设在吉林省科协学会学术部，人员由吉林省科协相关部门同志组成，负责比赛相关工作。</w:t>
      </w:r>
    </w:p>
    <w:p>
      <w:pPr>
        <w:ind w:firstLine="660" w:firstLineChars="200"/>
        <w:rPr>
          <w:rFonts w:hint="eastAsia" w:ascii="黑体" w:hAnsi="黑体" w:eastAsia="黑体"/>
          <w:sz w:val="33"/>
          <w:szCs w:val="33"/>
        </w:rPr>
      </w:pPr>
      <w:r>
        <w:rPr>
          <w:rFonts w:hint="eastAsia" w:ascii="黑体" w:hAnsi="黑体" w:eastAsia="黑体"/>
          <w:sz w:val="33"/>
          <w:szCs w:val="33"/>
        </w:rPr>
        <w:t>七、奖项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一等奖3人，颁发证书并资助每人3000元额度国内学术活动交流费；二等奖6人，颁发证书并资助每人2000元额度国内学术活动交流费；三等奖9人，颁发证书并资助每人1000元额度国内学术活动交流费。</w:t>
      </w:r>
    </w:p>
    <w:p>
      <w:pPr>
        <w:ind w:firstLine="66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各承办单位可设置优秀奖，获奖人数不超过参赛人数的30%。</w:t>
      </w:r>
    </w:p>
    <w:p>
      <w:pPr>
        <w:ind w:firstLine="660" w:firstLineChars="200"/>
        <w:rPr>
          <w:rFonts w:hint="eastAsia" w:ascii="黑体" w:hAnsi="黑体" w:eastAsia="黑体"/>
          <w:sz w:val="33"/>
          <w:szCs w:val="33"/>
        </w:rPr>
      </w:pPr>
      <w:r>
        <w:rPr>
          <w:rFonts w:hint="eastAsia" w:ascii="黑体" w:hAnsi="黑体" w:eastAsia="黑体"/>
          <w:sz w:val="33"/>
          <w:szCs w:val="33"/>
        </w:rPr>
        <w:t>八、异议及处理</w:t>
      </w:r>
    </w:p>
    <w:p>
      <w:pPr>
        <w:ind w:firstLine="660" w:firstLineChars="200"/>
        <w:rPr>
          <w:rFonts w:hint="eastAsia" w:ascii="仿宋_GB2312" w:hAnsi="黑体" w:eastAsia="仿宋_GB2312"/>
          <w:sz w:val="33"/>
          <w:szCs w:val="33"/>
        </w:rPr>
      </w:pPr>
      <w:r>
        <w:rPr>
          <w:rFonts w:hint="eastAsia" w:ascii="仿宋_GB2312" w:hAnsi="黑体" w:eastAsia="仿宋_GB2312"/>
          <w:sz w:val="33"/>
          <w:szCs w:val="33"/>
        </w:rPr>
        <w:t>比赛接受社会监督，任何推荐单位、参赛者对比赛及相关活动持有异议，可在比赛结果公示期间向评委会办公室提出。评委会办公室将异议核实情况及处理意见向评委会报告，由评委会最后裁定。本《规则》解释权属吉林省科学</w:t>
      </w:r>
      <w:bookmarkStart w:id="0" w:name="_GoBack"/>
      <w:bookmarkEnd w:id="0"/>
      <w:r>
        <w:rPr>
          <w:rFonts w:hint="eastAsia" w:ascii="仿宋_GB2312" w:hAnsi="黑体" w:eastAsia="仿宋_GB2312"/>
          <w:sz w:val="33"/>
          <w:szCs w:val="33"/>
        </w:rPr>
        <w:t>技术协会。</w:t>
      </w:r>
    </w:p>
    <w:tbl>
      <w:tblPr>
        <w:tblStyle w:val="4"/>
        <w:tblpPr w:leftFromText="180" w:rightFromText="180" w:vertAnchor="text" w:horzAnchor="page" w:tblpX="1584" w:tblpY="305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9061" w:type="dxa"/>
            <w:noWrap w:val="0"/>
            <w:vAlign w:val="top"/>
          </w:tcPr>
          <w:p>
            <w:pPr>
              <w:spacing w:line="576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 xml:space="preserve">吉林省科协办公室 </w:t>
            </w:r>
            <w:r>
              <w:rPr>
                <w:rFonts w:hint="eastAsia" w:ascii="仿宋_GB2312" w:eastAsia="仿宋_GB2312"/>
                <w:sz w:val="32"/>
              </w:rPr>
              <w:t xml:space="preserve">                  </w:t>
            </w:r>
            <w:r>
              <w:rPr>
                <w:rFonts w:eastAsia="仿宋_GB2312"/>
                <w:sz w:val="32"/>
              </w:rPr>
              <w:t>2020年</w:t>
            </w:r>
            <w:r>
              <w:rPr>
                <w:rFonts w:hint="eastAsia" w:eastAsia="仿宋_GB2312"/>
                <w:sz w:val="32"/>
                <w:szCs w:val="22"/>
              </w:rPr>
              <w:t>10</w:t>
            </w:r>
            <w:r>
              <w:rPr>
                <w:rFonts w:eastAsia="仿宋_GB2312"/>
                <w:sz w:val="32"/>
              </w:rPr>
              <w:t>月</w:t>
            </w:r>
            <w:r>
              <w:rPr>
                <w:rFonts w:hint="eastAsia" w:eastAsia="仿宋_GB2312"/>
                <w:sz w:val="32"/>
                <w:szCs w:val="22"/>
              </w:rPr>
              <w:t>1</w:t>
            </w:r>
            <w:r>
              <w:rPr>
                <w:rFonts w:hint="eastAsia" w:eastAsia="仿宋_GB2312"/>
                <w:sz w:val="3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32"/>
              </w:rPr>
              <w:t>日印发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211" w:right="1474" w:bottom="1871" w:left="1588" w:header="851" w:footer="1474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0" w:space="0"/>
      </w:pBdr>
      <w:rPr>
        <w:sz w:val="28"/>
      </w:rPr>
    </w:pPr>
    <w:r>
      <w:rPr>
        <w:rStyle w:val="6"/>
        <w:sz w:val="28"/>
      </w:rPr>
      <w:t xml:space="preserve">— </w:t>
    </w:r>
    <w:r>
      <w:rPr>
        <w:sz w:val="28"/>
      </w:rPr>
      <w:fldChar w:fldCharType="begin"/>
    </w:r>
    <w:r>
      <w:rPr>
        <w:rStyle w:val="6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sz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6E3174"/>
    <w:multiLevelType w:val="singleLevel"/>
    <w:tmpl w:val="9D6E31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D7853"/>
    <w:rsid w:val="726C18C9"/>
    <w:rsid w:val="72B74639"/>
    <w:rsid w:val="BF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2020-10-12T11:15:00Z</dcterms:created>
  <dc:creator>mac</dc:creator>
  <cp:lastModifiedBy>Administrator</cp:lastModifiedBy>
  <cp:lastPrinted>2020-10-12T23:59:10Z</cp:lastPrinted>
  <dcterms:modified xsi:type="dcterms:W3CDTF">2020-10-13T00:22:15Z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